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6858000" cy="118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2025-26 Freeman High School</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CEEB code: 480408</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office: (509) 291-3721</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7">
        <w:r w:rsidDel="00000000" w:rsidR="00000000" w:rsidRPr="00000000">
          <w:rPr>
            <w:rFonts w:ascii="Times New Roman" w:cs="Times New Roman" w:eastAsia="Times New Roman" w:hAnsi="Times New Roman"/>
            <w:color w:val="1155cc"/>
            <w:sz w:val="24"/>
            <w:szCs w:val="24"/>
            <w:u w:val="single"/>
            <w:rtl w:val="0"/>
          </w:rPr>
          <w:t xml:space="preserve">freemansd.org/Domain/98</w:t>
        </w:r>
      </w:hyperlink>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Jeff Smith</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Counselors: Heidi Youseph, Kaela Holm</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Community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community around Freeman High School is situated in the small, rural town of Rockford, Washington, characterized by its peaceful setting in the rolling agricultural hills of the Palouse. The area's small size cultivates a close-knit, family-oriented atmosphere.  Freeman High School, which serves the broader district, is a highly-rated public school with a small student body of about 300, and its students are known for being very involved in school activities and athletics. Overall, the area offers a desirable, traditional rural lifestyle with highly-regarded local public education.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School</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Freeman High School is a comprehensive four-year public school enrolling about 290 students in grades 9-12.  The school opened in 1957 and is located in Rockford, WA.  Freeman High School holds membership in the College Board and the Pacific Northwest Association for College Admission Counseling (PNACAC). Students also have one-to-one technology.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Curriculum</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academic program is organized with a 7 period day. Students are able to earn 6.5 credits per semester. Advisory is held once a week. This is the 2nd year the district has been on a balanced calendar, with the second semester being longer than the first semester.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b w:val="1"/>
          <w:sz w:val="24"/>
          <w:szCs w:val="24"/>
          <w:rtl w:val="0"/>
        </w:rPr>
        <w:t xml:space="preserve">AP courses</w:t>
      </w:r>
      <w:r w:rsidDel="00000000" w:rsidR="00000000" w:rsidRPr="00000000">
        <w:rPr>
          <w:rFonts w:ascii="Times New Roman" w:cs="Times New Roman" w:eastAsia="Times New Roman" w:hAnsi="Times New Roman"/>
          <w:sz w:val="24"/>
          <w:szCs w:val="24"/>
          <w:rtl w:val="0"/>
        </w:rPr>
        <w:t xml:space="preserve"> are offered: English Language and Composition, AP Literature and Composition, US History, US Government and Politics, Calculus, Pre-Calculus, Environmental Science, Computer Science Principals, Physics. AP is an open-enrollment program.  </w:t>
      </w:r>
      <w:r w:rsidDel="00000000" w:rsidR="00000000" w:rsidRPr="00000000">
        <w:rPr>
          <w:rFonts w:ascii="Times New Roman" w:cs="Times New Roman" w:eastAsia="Times New Roman" w:hAnsi="Times New Roman"/>
          <w:b w:val="1"/>
          <w:sz w:val="24"/>
          <w:szCs w:val="24"/>
          <w:rtl w:val="0"/>
        </w:rPr>
        <w:t xml:space="preserve">College in the High School </w:t>
      </w:r>
      <w:r w:rsidDel="00000000" w:rsidR="00000000" w:rsidRPr="00000000">
        <w:rPr>
          <w:rFonts w:ascii="Times New Roman" w:cs="Times New Roman" w:eastAsia="Times New Roman" w:hAnsi="Times New Roman"/>
          <w:sz w:val="24"/>
          <w:szCs w:val="24"/>
          <w:rtl w:val="0"/>
        </w:rPr>
        <w:t xml:space="preserve">courses are:  EWU ENGL 170: Introduction to Literature, EWU ENGL 101 College Composition, EWU POLI 100, EWU Math 141&amp;142, EWU Math 161, CWU PHYS 111&amp;112.</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Grading and Ranking</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93-100</w:t>
        <w:tab/>
        <w:t xml:space="preserve">=A</w:t>
        <w:tab/>
        <w:t xml:space="preserve">=  4.0</w:t>
        <w:tab/>
        <w:tab/>
        <w:t xml:space="preserve">77&lt;80</w:t>
        <w:tab/>
        <w:t xml:space="preserve">=</w:t>
        <w:tab/>
        <w:t xml:space="preserve">C+ </w:t>
        <w:tab/>
        <w:t xml:space="preserve">= 2.3</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90&lt;93</w:t>
        <w:tab/>
        <w:t xml:space="preserve">=A-</w:t>
        <w:tab/>
        <w:t xml:space="preserve">=  3.7</w:t>
        <w:tab/>
        <w:tab/>
        <w:t xml:space="preserve">73&lt;77</w:t>
        <w:tab/>
        <w:t xml:space="preserve">=</w:t>
        <w:tab/>
        <w:t xml:space="preserve">C   </w:t>
        <w:tab/>
        <w:t xml:space="preserve">= 2.0</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87&lt;90</w:t>
        <w:tab/>
        <w:t xml:space="preserve">=B+</w:t>
        <w:tab/>
        <w:t xml:space="preserve">= 3.3</w:t>
        <w:tab/>
        <w:tab/>
        <w:t xml:space="preserve">70&lt;73</w:t>
        <w:tab/>
        <w:t xml:space="preserve">=</w:t>
        <w:tab/>
        <w:t xml:space="preserve">C-  </w:t>
        <w:tab/>
        <w:t xml:space="preserve">= 1.7</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83&lt;87</w:t>
        <w:tab/>
        <w:t xml:space="preserve">=B </w:t>
        <w:tab/>
        <w:t xml:space="preserve">= 3.0</w:t>
        <w:tab/>
        <w:tab/>
        <w:t xml:space="preserve">67&lt;70</w:t>
        <w:tab/>
        <w:t xml:space="preserve">=</w:t>
        <w:tab/>
        <w:t xml:space="preserve">D+ </w:t>
        <w:tab/>
        <w:t xml:space="preserve">= 1.3</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80&lt;83</w:t>
        <w:tab/>
        <w:t xml:space="preserve">=B-</w:t>
        <w:tab/>
        <w:t xml:space="preserve">= 2.7</w:t>
        <w:tab/>
        <w:tab/>
        <w:t xml:space="preserve">60&lt;67</w:t>
        <w:tab/>
        <w:t xml:space="preserve">=</w:t>
        <w:tab/>
        <w:t xml:space="preserve">D   </w:t>
        <w:tab/>
        <w:t xml:space="preserve">= 1.0</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0&lt;59</w:t>
        <w:tab/>
        <w:t xml:space="preserve">=An "F" or a failing grade is a grade &lt; 1.0</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 rank is calculated and reported for all students. Transcripts are unweighted.</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Class of 2025</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78 students in the Class of 2025</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SAT Scores: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Mean Total Score: 1077</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Mean Reading and Writing: 539</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Mean Math: 539</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Advanced Placement Results: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May 2025, 44 students took AP Exams.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total of 90 exams were taken.</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57% of students received a 3 or higher.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31.2" w:lineRule="auto"/>
        <w:ind w:left="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Post High School Placement</w:t>
      </w:r>
    </w:p>
    <w:p w:rsidR="00000000" w:rsidDel="00000000" w:rsidP="00000000" w:rsidRDefault="00000000" w:rsidRPr="00000000" w14:paraId="00000030">
      <w:pPr>
        <w:numPr>
          <w:ilvl w:val="0"/>
          <w:numId w:val="1"/>
        </w:numPr>
        <w:pBdr>
          <w:top w:color="auto" w:space="0" w:sz="0" w:val="none"/>
          <w:left w:color="auto" w:space="0" w:sz="0" w:val="none"/>
          <w:bottom w:color="auto" w:space="0" w:sz="0" w:val="none"/>
          <w:right w:color="auto" w:space="0" w:sz="0" w:val="none"/>
          <w:between w:color="auto" w:space="0" w:sz="0" w:val="none"/>
        </w:pBdr>
        <w:spacing w:line="331.2"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40% matriculated to a 4-year university</w:t>
      </w:r>
    </w:p>
    <w:p w:rsidR="00000000" w:rsidDel="00000000" w:rsidP="00000000" w:rsidRDefault="00000000" w:rsidRPr="00000000" w14:paraId="00000031">
      <w:pPr>
        <w:numPr>
          <w:ilvl w:val="0"/>
          <w:numId w:val="1"/>
        </w:numPr>
        <w:pBdr>
          <w:top w:color="auto" w:space="0" w:sz="0" w:val="none"/>
          <w:left w:color="auto" w:space="0" w:sz="0" w:val="none"/>
          <w:bottom w:color="auto" w:space="0" w:sz="0" w:val="none"/>
          <w:right w:color="auto" w:space="0" w:sz="0" w:val="none"/>
          <w:between w:color="auto" w:space="0" w:sz="0" w:val="none"/>
        </w:pBdr>
        <w:spacing w:line="331.2"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30% matriculated to a 2-year college </w:t>
      </w:r>
    </w:p>
    <w:p w:rsidR="00000000" w:rsidDel="00000000" w:rsidP="00000000" w:rsidRDefault="00000000" w:rsidRPr="00000000" w14:paraId="00000032">
      <w:pPr>
        <w:numPr>
          <w:ilvl w:val="0"/>
          <w:numId w:val="1"/>
        </w:numPr>
        <w:pBdr>
          <w:top w:color="auto" w:space="0" w:sz="0" w:val="none"/>
          <w:left w:color="auto" w:space="0" w:sz="0" w:val="none"/>
          <w:bottom w:color="auto" w:space="0" w:sz="0" w:val="none"/>
          <w:right w:color="auto" w:space="0" w:sz="0" w:val="none"/>
          <w:between w:color="auto" w:space="0" w:sz="0" w:val="none"/>
        </w:pBdr>
        <w:spacing w:line="331.2"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30% selected apprenticeship, work, military service, or mission</w:t>
      </w:r>
    </w:p>
    <w:p w:rsidR="00000000" w:rsidDel="00000000" w:rsidP="00000000" w:rsidRDefault="00000000" w:rsidRPr="00000000" w14:paraId="00000033">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Contact Information</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Heidi Youseph</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&amp; Career Counselor</w:t>
      </w:r>
    </w:p>
    <w:p w:rsidR="00000000" w:rsidDel="00000000" w:rsidP="00000000" w:rsidRDefault="00000000" w:rsidRPr="00000000" w14:paraId="00000037">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hyouseph@freemansd.org</w:t>
        </w:r>
      </w:hyperlink>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 291-3721</w:t>
      </w:r>
    </w:p>
    <w:p w:rsidR="00000000" w:rsidDel="00000000" w:rsidP="00000000" w:rsidRDefault="00000000" w:rsidRPr="00000000" w14:paraId="0000003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freemansd.org/Domain/98" TargetMode="External"/><Relationship Id="rId8" Type="http://schemas.openxmlformats.org/officeDocument/2006/relationships/hyperlink" Target="mailto:hyouseph@freema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